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A2A6D" w14:textId="4F7136A6" w:rsidR="00FE0152" w:rsidRDefault="00073490" w:rsidP="00DB4EEB">
      <w:pPr>
        <w:tabs>
          <w:tab w:val="left" w:pos="360"/>
        </w:tabs>
      </w:pPr>
      <w:r w:rsidRPr="00073490">
        <w:rPr>
          <w:rFonts w:ascii="Calibri" w:hAnsi="Calibri"/>
          <w:b/>
        </w:rPr>
        <w:t>L</w:t>
      </w:r>
      <w:r>
        <w:rPr>
          <w:rFonts w:ascii="Calibri" w:hAnsi="Calibri"/>
          <w:b/>
        </w:rPr>
        <w:t>egal documents</w:t>
      </w:r>
      <w:r w:rsidR="006F392C">
        <w:rPr>
          <w:b/>
        </w:rPr>
        <w:t xml:space="preserve"> from the medieval period</w:t>
      </w:r>
    </w:p>
    <w:p w14:paraId="454A517A" w14:textId="4C48A178" w:rsidR="00073490" w:rsidRPr="00073490" w:rsidRDefault="00073490" w:rsidP="00DB4EEB">
      <w:pPr>
        <w:tabs>
          <w:tab w:val="left" w:pos="360"/>
        </w:tabs>
      </w:pPr>
      <w:r>
        <w:t>Note on texts and sources</w:t>
      </w:r>
    </w:p>
    <w:p w14:paraId="4E0A5689" w14:textId="77777777" w:rsidR="00C44BE9" w:rsidRDefault="00C44BE9" w:rsidP="00DB4EEB">
      <w:pPr>
        <w:tabs>
          <w:tab w:val="left" w:pos="360"/>
        </w:tabs>
      </w:pPr>
    </w:p>
    <w:p w14:paraId="7DA6B5C9" w14:textId="2AC7D8AA" w:rsidR="009A6754" w:rsidRDefault="009A6754" w:rsidP="00DB4EEB">
      <w:pPr>
        <w:tabs>
          <w:tab w:val="left" w:pos="360"/>
        </w:tabs>
      </w:pPr>
      <w:r w:rsidRPr="00073490">
        <w:rPr>
          <w:b/>
        </w:rPr>
        <w:t>980s</w:t>
      </w:r>
      <w:r w:rsidRPr="00073490">
        <w:rPr>
          <w:b/>
        </w:rPr>
        <w:tab/>
        <w:t>O</w:t>
      </w:r>
      <w:r w:rsidR="00073490" w:rsidRPr="00073490">
        <w:rPr>
          <w:b/>
        </w:rPr>
        <w:t>rdinance of Lha bla ma Ye shes ʼ</w:t>
      </w:r>
      <w:r w:rsidRPr="00073490">
        <w:rPr>
          <w:b/>
        </w:rPr>
        <w:t>od</w:t>
      </w:r>
    </w:p>
    <w:p w14:paraId="7F98CF0F" w14:textId="049C6F7A" w:rsidR="009A6754" w:rsidRDefault="00073490" w:rsidP="00DB4EEB">
      <w:pPr>
        <w:tabs>
          <w:tab w:val="left" w:pos="360"/>
        </w:tabs>
      </w:pPr>
      <w:r>
        <w:t>The ruler c</w:t>
      </w:r>
      <w:r w:rsidR="009A6754">
        <w:t>omplains about corrupt tantric practices and says that the good karma of living beings is exhausted and the law of the kings (</w:t>
      </w:r>
      <w:r w:rsidR="009A6754">
        <w:rPr>
          <w:i/>
        </w:rPr>
        <w:t>rgyal po’i khrims</w:t>
      </w:r>
      <w:r w:rsidR="009A6754">
        <w:t>) is impaired.</w:t>
      </w:r>
    </w:p>
    <w:p w14:paraId="5C69170C" w14:textId="120489AC" w:rsidR="00653B37" w:rsidRDefault="00CD2207" w:rsidP="00DB4EEB">
      <w:pPr>
        <w:tabs>
          <w:tab w:val="left" w:pos="360"/>
        </w:tabs>
        <w:ind w:left="720" w:hanging="360"/>
      </w:pPr>
      <w:r>
        <w:t xml:space="preserve">See </w:t>
      </w:r>
      <w:r w:rsidR="00073490" w:rsidRPr="00073490">
        <w:t xml:space="preserve">Karmay, Samten. 1980. The Ordinance of Lha Bla-ma Ye-shes-ʼod. In M. Aris and Aung San Suu Kyi (eds) </w:t>
      </w:r>
      <w:r w:rsidR="00073490" w:rsidRPr="00073490">
        <w:rPr>
          <w:i/>
        </w:rPr>
        <w:t>Tibetan Studies in Honour of Hugh Richardson</w:t>
      </w:r>
      <w:r w:rsidR="00073490" w:rsidRPr="00073490">
        <w:t>. Warminster: Aris and Phillips. pp. 150–62.</w:t>
      </w:r>
      <w:r w:rsidR="009A6754">
        <w:tab/>
      </w:r>
    </w:p>
    <w:p w14:paraId="244C7A25" w14:textId="0AC5AC21" w:rsidR="009A6754" w:rsidRDefault="00073490" w:rsidP="00DB4EEB">
      <w:pPr>
        <w:tabs>
          <w:tab w:val="left" w:pos="360"/>
        </w:tabs>
        <w:ind w:left="720" w:hanging="360"/>
      </w:pPr>
      <w:r>
        <w:t xml:space="preserve">See also, </w:t>
      </w:r>
      <w:r w:rsidRPr="00073490">
        <w:t xml:space="preserve">Schaeffer, Kurtis R. 2013. The Ordinance of Yeshé Öd to Tantric Practitioners. In K. Schaeffer, M. Kapstein, and G. Tuttle (eds), Sources of Tibetan Tradition. New York: Columbia University Press. pp. </w:t>
      </w:r>
      <w:r w:rsidR="00036746">
        <w:t>168</w:t>
      </w:r>
      <w:r w:rsidR="00653B37">
        <w:t>–73.</w:t>
      </w:r>
    </w:p>
    <w:p w14:paraId="24F6B57C" w14:textId="77777777" w:rsidR="009A6754" w:rsidRDefault="009A6754" w:rsidP="00DB4EEB">
      <w:pPr>
        <w:tabs>
          <w:tab w:val="left" w:pos="360"/>
        </w:tabs>
      </w:pPr>
    </w:p>
    <w:p w14:paraId="63352A1E" w14:textId="77777777" w:rsidR="00DB4EEB" w:rsidRDefault="009A6754" w:rsidP="00DB4EEB">
      <w:pPr>
        <w:tabs>
          <w:tab w:val="left" w:pos="360"/>
        </w:tabs>
      </w:pPr>
      <w:r w:rsidRPr="00653B37">
        <w:rPr>
          <w:b/>
        </w:rPr>
        <w:t>1278</w:t>
      </w:r>
      <w:r w:rsidRPr="00653B37">
        <w:rPr>
          <w:b/>
        </w:rPr>
        <w:tab/>
        <w:t xml:space="preserve">Phags pa’s </w:t>
      </w:r>
      <w:r w:rsidRPr="00653B37">
        <w:rPr>
          <w:b/>
          <w:i/>
        </w:rPr>
        <w:t>Shes bya rab gsal</w:t>
      </w:r>
      <w:r>
        <w:t>, ‘Explanation of the Subject of Cognition’ and his ‘Advice to Prince Jibigtemür (</w:t>
      </w:r>
      <w:r>
        <w:rPr>
          <w:i/>
        </w:rPr>
        <w:t>rgyal bu ji big de mur la gdam da byas nor bu’i phren ba</w:t>
      </w:r>
      <w:r>
        <w:t xml:space="preserve">). </w:t>
      </w:r>
    </w:p>
    <w:p w14:paraId="279D19EF" w14:textId="02AFC383" w:rsidR="009A6754" w:rsidRDefault="00DB4EEB" w:rsidP="00DB4EEB">
      <w:pPr>
        <w:tabs>
          <w:tab w:val="left" w:pos="360"/>
        </w:tabs>
      </w:pPr>
      <w:r>
        <w:tab/>
      </w:r>
      <w:r w:rsidR="009A6754">
        <w:t>Advises abolition of capital punishment.</w:t>
      </w:r>
    </w:p>
    <w:p w14:paraId="50F8AF07" w14:textId="06BA0394" w:rsidR="009A6754" w:rsidRDefault="009A6754" w:rsidP="00DB4EEB">
      <w:pPr>
        <w:tabs>
          <w:tab w:val="left" w:pos="360"/>
        </w:tabs>
        <w:ind w:left="720" w:hanging="360"/>
      </w:pPr>
      <w:r>
        <w:t xml:space="preserve">See </w:t>
      </w:r>
      <w:r w:rsidR="00653B37" w:rsidRPr="00653B37">
        <w:t xml:space="preserve">Wallace, Vesna. 2010. Legalized Violence: Punitive Measures of Buddhist Khans in Mongolia. In M. Jerryson (ed.) </w:t>
      </w:r>
      <w:r w:rsidR="00653B37" w:rsidRPr="00653B37">
        <w:rPr>
          <w:i/>
        </w:rPr>
        <w:t>Buddhist Warfare</w:t>
      </w:r>
      <w:r w:rsidR="00653B37" w:rsidRPr="00653B37">
        <w:t>. New York: Oxford University Press.</w:t>
      </w:r>
      <w:r>
        <w:t xml:space="preserve"> </w:t>
      </w:r>
      <w:r w:rsidR="00653B37">
        <w:t>pp. 92–93</w:t>
      </w:r>
      <w:r>
        <w:t>.</w:t>
      </w:r>
    </w:p>
    <w:p w14:paraId="61125B06" w14:textId="1BB43B2F" w:rsidR="00653B37" w:rsidRPr="00F47EE2" w:rsidRDefault="00653B37" w:rsidP="00DB4EEB">
      <w:pPr>
        <w:widowControl w:val="0"/>
        <w:tabs>
          <w:tab w:val="left" w:pos="360"/>
        </w:tabs>
        <w:ind w:left="720" w:hanging="360"/>
        <w:rPr>
          <w:rFonts w:ascii="Calibri" w:hAnsi="Calibri"/>
        </w:rPr>
      </w:pPr>
      <w:r>
        <w:t xml:space="preserve">And see </w:t>
      </w:r>
      <w:r>
        <w:rPr>
          <w:rFonts w:ascii="Calibri" w:hAnsi="Calibri"/>
        </w:rPr>
        <w:t xml:space="preserve">Krug, Adam C. 2015. </w:t>
      </w:r>
      <w:r w:rsidRPr="00E759A4">
        <w:rPr>
          <w:rFonts w:ascii="Calibri" w:hAnsi="Calibri"/>
        </w:rPr>
        <w:t>Pakpa’s Verses on Governance in Advice to Princ</w:t>
      </w:r>
      <w:r>
        <w:rPr>
          <w:rFonts w:ascii="Calibri" w:hAnsi="Calibri"/>
        </w:rPr>
        <w:t>e</w:t>
      </w:r>
      <w:r w:rsidRPr="00E759A4">
        <w:rPr>
          <w:rFonts w:ascii="Calibri" w:hAnsi="Calibri"/>
        </w:rPr>
        <w:t xml:space="preserve"> Jibik Temür: A Jewel Rosary, </w:t>
      </w:r>
      <w:r w:rsidRPr="00E759A4">
        <w:rPr>
          <w:rFonts w:ascii="Calibri" w:hAnsi="Calibri"/>
          <w:i/>
        </w:rPr>
        <w:t>Cahiers d’Extrême-Asie</w:t>
      </w:r>
      <w:r w:rsidRPr="00E759A4">
        <w:rPr>
          <w:rFonts w:ascii="Calibri" w:hAnsi="Calibri"/>
        </w:rPr>
        <w:t xml:space="preserve"> 24</w:t>
      </w:r>
      <w:r w:rsidR="00CD2207">
        <w:rPr>
          <w:rFonts w:ascii="Calibri" w:hAnsi="Calibri"/>
        </w:rPr>
        <w:t xml:space="preserve">: </w:t>
      </w:r>
      <w:r>
        <w:rPr>
          <w:rFonts w:ascii="Calibri" w:hAnsi="Calibri"/>
        </w:rPr>
        <w:t>117–44</w:t>
      </w:r>
      <w:r w:rsidRPr="00E759A4">
        <w:rPr>
          <w:rFonts w:ascii="Calibri" w:hAnsi="Calibri"/>
        </w:rPr>
        <w:t>.</w:t>
      </w:r>
    </w:p>
    <w:p w14:paraId="6F5F8B23" w14:textId="49D3E559" w:rsidR="009A6754" w:rsidRDefault="009A6754" w:rsidP="00DB4EEB">
      <w:pPr>
        <w:tabs>
          <w:tab w:val="left" w:pos="360"/>
        </w:tabs>
      </w:pPr>
    </w:p>
    <w:p w14:paraId="3F69B7A0" w14:textId="77777777" w:rsidR="00C11AF0" w:rsidRDefault="00C11AF0" w:rsidP="00DB4EEB">
      <w:pPr>
        <w:tabs>
          <w:tab w:val="left" w:pos="360"/>
        </w:tabs>
      </w:pPr>
      <w:r w:rsidRPr="00CD2207">
        <w:rPr>
          <w:b/>
        </w:rPr>
        <w:t>1277–1362 Fifteen documents from the Yuan archives</w:t>
      </w:r>
      <w:r>
        <w:t xml:space="preserve"> concerning Tibet, written in Mongolian script.</w:t>
      </w:r>
    </w:p>
    <w:p w14:paraId="55B63CFB" w14:textId="77777777" w:rsidR="00C11AF0" w:rsidRDefault="00C11AF0" w:rsidP="00DB4EEB">
      <w:pPr>
        <w:tabs>
          <w:tab w:val="left" w:pos="360"/>
        </w:tabs>
      </w:pPr>
      <w:r w:rsidRPr="00CD2207">
        <w:rPr>
          <w:b/>
        </w:rPr>
        <w:t>1373–</w:t>
      </w:r>
      <w:r w:rsidR="00BA0CF7" w:rsidRPr="00CD2207">
        <w:rPr>
          <w:b/>
        </w:rPr>
        <w:t>1486 Eights documents from the Ming archives</w:t>
      </w:r>
      <w:r w:rsidR="00BA0CF7">
        <w:t xml:space="preserve"> concerning Tibet, written in Tibetan and  Chinese.</w:t>
      </w:r>
    </w:p>
    <w:p w14:paraId="158AA20D" w14:textId="420A0959" w:rsidR="00C11AF0" w:rsidRDefault="00BA0CF7" w:rsidP="00DB4EEB">
      <w:pPr>
        <w:tabs>
          <w:tab w:val="left" w:pos="360"/>
        </w:tabs>
        <w:ind w:left="720" w:hanging="360"/>
      </w:pPr>
      <w:r>
        <w:t xml:space="preserve">See </w:t>
      </w:r>
      <w:r w:rsidR="00CD2207" w:rsidRPr="00CD2207">
        <w:t xml:space="preserve">Sgrolkar, Xiao Huaiyuan, Vodzer, et al. 1995. </w:t>
      </w:r>
      <w:r w:rsidR="00CD2207" w:rsidRPr="00CD2207">
        <w:rPr>
          <w:i/>
        </w:rPr>
        <w:t>A Collection of Historical Archives of Tibet. Xizang lishi dang’an huicui. Bod kyi lo rgyus yig tshags gces bsdus</w:t>
      </w:r>
      <w:r w:rsidR="00CD2207" w:rsidRPr="00CD2207">
        <w:t>. Beijing: Cultural Relics Publishing House (Wensu chubanshe).</w:t>
      </w:r>
    </w:p>
    <w:p w14:paraId="296F71DD" w14:textId="77777777" w:rsidR="00CD2207" w:rsidRDefault="00CD2207" w:rsidP="00DB4EEB">
      <w:pPr>
        <w:tabs>
          <w:tab w:val="left" w:pos="360"/>
        </w:tabs>
      </w:pPr>
    </w:p>
    <w:p w14:paraId="02778DC4" w14:textId="49D27215" w:rsidR="00EC67B7" w:rsidRDefault="000440E8" w:rsidP="00DB4EEB">
      <w:pPr>
        <w:tabs>
          <w:tab w:val="left" w:pos="360"/>
        </w:tabs>
      </w:pPr>
      <w:r w:rsidRPr="00CD2207">
        <w:rPr>
          <w:b/>
        </w:rPr>
        <w:t>1289–1382</w:t>
      </w:r>
      <w:r w:rsidR="00EC67B7" w:rsidRPr="00CD2207">
        <w:rPr>
          <w:b/>
        </w:rPr>
        <w:t xml:space="preserve">  Documents issued by the Mongolian emperors</w:t>
      </w:r>
      <w:r w:rsidR="00EC67B7">
        <w:t xml:space="preserve"> and others concerning Tibet.</w:t>
      </w:r>
    </w:p>
    <w:p w14:paraId="3760F2A6" w14:textId="77777777" w:rsidR="0098357D" w:rsidRDefault="0098357D" w:rsidP="00DB4EEB">
      <w:pPr>
        <w:tabs>
          <w:tab w:val="left" w:pos="360"/>
        </w:tabs>
        <w:ind w:left="720" w:hanging="360"/>
      </w:pPr>
      <w:r w:rsidRPr="0098357D">
        <w:t>See Everding</w:t>
      </w:r>
      <w:r>
        <w:t>,</w:t>
      </w:r>
      <w:r w:rsidRPr="0098357D">
        <w:t xml:space="preserve"> Karl-Heinz</w:t>
      </w:r>
      <w:r>
        <w:t>. 2006.</w:t>
      </w:r>
      <w:r w:rsidRPr="0098357D">
        <w:t xml:space="preserve"> </w:t>
      </w:r>
      <w:r w:rsidRPr="0098357D">
        <w:rPr>
          <w:i/>
        </w:rPr>
        <w:t>Herrscherurkunden aus der Zeit des mongolischen Grossreiches für tibetische Adelshäuser, Geistliche und Klöster</w:t>
      </w:r>
      <w:r>
        <w:t>.</w:t>
      </w:r>
      <w:r w:rsidRPr="0098357D">
        <w:t xml:space="preserve"> Halle: I</w:t>
      </w:r>
      <w:r>
        <w:t xml:space="preserve">nternational </w:t>
      </w:r>
      <w:r w:rsidRPr="0098357D">
        <w:t>I</w:t>
      </w:r>
      <w:r>
        <w:t xml:space="preserve">nstitute for </w:t>
      </w:r>
      <w:r w:rsidRPr="0098357D">
        <w:t>T</w:t>
      </w:r>
      <w:r>
        <w:t xml:space="preserve">ibetan and </w:t>
      </w:r>
      <w:r w:rsidRPr="0098357D">
        <w:t>B</w:t>
      </w:r>
      <w:r>
        <w:t xml:space="preserve">uddhist </w:t>
      </w:r>
      <w:r w:rsidRPr="0098357D">
        <w:t>S</w:t>
      </w:r>
      <w:r>
        <w:t>tudies.</w:t>
      </w:r>
    </w:p>
    <w:p w14:paraId="3F863ECB" w14:textId="4BBE611B" w:rsidR="00EC67B7" w:rsidRDefault="000440E8" w:rsidP="00DB4EEB">
      <w:pPr>
        <w:tabs>
          <w:tab w:val="left" w:pos="360"/>
        </w:tabs>
        <w:ind w:left="900"/>
      </w:pPr>
      <w:r>
        <w:t xml:space="preserve">Vol 1: </w:t>
      </w:r>
      <w:r w:rsidR="0098357D">
        <w:t>Ten documents in ʼ</w:t>
      </w:r>
      <w:r w:rsidR="00EC67B7">
        <w:t>phagspa script</w:t>
      </w:r>
    </w:p>
    <w:p w14:paraId="1C23BA22" w14:textId="07F7AEE7" w:rsidR="00EC67B7" w:rsidRDefault="000440E8" w:rsidP="00DB4EEB">
      <w:pPr>
        <w:tabs>
          <w:tab w:val="left" w:pos="360"/>
        </w:tabs>
        <w:ind w:left="900"/>
      </w:pPr>
      <w:r>
        <w:lastRenderedPageBreak/>
        <w:t>Vol 2: 25 documents in Tibetan script, issued by the Mongolian quans, their teachers, and their (Tibetan) officers</w:t>
      </w:r>
    </w:p>
    <w:p w14:paraId="53833B6B" w14:textId="77777777" w:rsidR="001F47C0" w:rsidRDefault="001F47C0" w:rsidP="00DB4EEB">
      <w:pPr>
        <w:tabs>
          <w:tab w:val="left" w:pos="360"/>
        </w:tabs>
      </w:pPr>
    </w:p>
    <w:p w14:paraId="2A2A8E30" w14:textId="7E303577" w:rsidR="0098357D" w:rsidRDefault="0098357D" w:rsidP="00DB4EEB">
      <w:pPr>
        <w:tabs>
          <w:tab w:val="left" w:pos="360"/>
        </w:tabs>
      </w:pPr>
      <w:r>
        <w:rPr>
          <w:b/>
        </w:rPr>
        <w:t>1305</w:t>
      </w:r>
      <w:r>
        <w:rPr>
          <w:b/>
        </w:rPr>
        <w:tab/>
        <w:t>Zhalu e</w:t>
      </w:r>
      <w:r w:rsidR="00036746" w:rsidRPr="0098357D">
        <w:rPr>
          <w:b/>
        </w:rPr>
        <w:t xml:space="preserve">dict </w:t>
      </w:r>
      <w:r>
        <w:rPr>
          <w:b/>
        </w:rPr>
        <w:t>of</w:t>
      </w:r>
      <w:r w:rsidR="00036746" w:rsidRPr="0098357D">
        <w:rPr>
          <w:b/>
        </w:rPr>
        <w:t xml:space="preserve"> Qayishan</w:t>
      </w:r>
      <w:r w:rsidR="00036746">
        <w:t xml:space="preserve"> </w:t>
      </w:r>
    </w:p>
    <w:p w14:paraId="6C8B62B7" w14:textId="6B3D911E" w:rsidR="00036746" w:rsidRDefault="0098357D" w:rsidP="00DB4EEB">
      <w:pPr>
        <w:tabs>
          <w:tab w:val="left" w:pos="360"/>
        </w:tabs>
      </w:pPr>
      <w:r>
        <w:t xml:space="preserve">The Mongol prince here grants protection and support to </w:t>
      </w:r>
      <w:r w:rsidR="006738DF">
        <w:t>the H</w:t>
      </w:r>
      <w:r>
        <w:t>alu monastery and</w:t>
      </w:r>
      <w:r w:rsidR="00036746">
        <w:t xml:space="preserve"> prohibits violence against monks.</w:t>
      </w:r>
    </w:p>
    <w:p w14:paraId="33F52535" w14:textId="7F5447C9" w:rsidR="0098357D" w:rsidRDefault="0098357D" w:rsidP="00DB4EEB">
      <w:pPr>
        <w:tabs>
          <w:tab w:val="left" w:pos="360"/>
        </w:tabs>
        <w:ind w:left="720" w:hanging="360"/>
      </w:pPr>
      <w:r>
        <w:t xml:space="preserve">See </w:t>
      </w:r>
      <w:r w:rsidRPr="0098357D">
        <w:t>Sgrolkar, Xiao Huaiyuan, Vodzer, et al. 1995. A Collection of Historical Archives of Tibet. Xizang lishi dang’an huicui. Bod kyi lo rgyus yig tshags gces bsdus. Beijing: Cultural Relics Publishing House (Wensu chubanshe)</w:t>
      </w:r>
      <w:r>
        <w:t>, no. 14</w:t>
      </w:r>
      <w:r w:rsidRPr="0098357D">
        <w:t>.</w:t>
      </w:r>
    </w:p>
    <w:p w14:paraId="3A57076F" w14:textId="174142F1" w:rsidR="00036746" w:rsidRPr="00036746" w:rsidRDefault="0098357D" w:rsidP="00DB4EEB">
      <w:pPr>
        <w:tabs>
          <w:tab w:val="left" w:pos="360"/>
        </w:tabs>
        <w:ind w:left="720" w:hanging="360"/>
      </w:pPr>
      <w:r>
        <w:t>And s</w:t>
      </w:r>
      <w:r w:rsidR="00036746">
        <w:t xml:space="preserve">ee </w:t>
      </w:r>
      <w:r w:rsidR="000B210B">
        <w:t xml:space="preserve">Gray Tuttle. 2013. The Zhalu Edict of the Mongol Prince Qayishan. </w:t>
      </w:r>
      <w:r w:rsidR="000B210B" w:rsidRPr="000B210B">
        <w:t xml:space="preserve">In K. Schaeffer, M. Kapstein, and G. Tuttle (eds), </w:t>
      </w:r>
      <w:r w:rsidR="000B210B" w:rsidRPr="000B210B">
        <w:rPr>
          <w:i/>
        </w:rPr>
        <w:t>Sources of Tibetan Tradition</w:t>
      </w:r>
      <w:r w:rsidR="000B210B" w:rsidRPr="000B210B">
        <w:t xml:space="preserve">. New York: Columbia University Press. pp. </w:t>
      </w:r>
      <w:r w:rsidR="000B210B">
        <w:t>pp. 342–44</w:t>
      </w:r>
      <w:r w:rsidR="00036746">
        <w:t>.</w:t>
      </w:r>
    </w:p>
    <w:p w14:paraId="10764DC5" w14:textId="77777777" w:rsidR="0098357D" w:rsidRDefault="0098357D" w:rsidP="00DB4EEB">
      <w:pPr>
        <w:tabs>
          <w:tab w:val="left" w:pos="360"/>
        </w:tabs>
      </w:pPr>
    </w:p>
    <w:p w14:paraId="37C4F807" w14:textId="295D84CE" w:rsidR="00C11AF0" w:rsidRPr="00C11AF0" w:rsidRDefault="000B210B" w:rsidP="00DB4EEB">
      <w:pPr>
        <w:tabs>
          <w:tab w:val="left" w:pos="360"/>
        </w:tabs>
      </w:pPr>
      <w:r>
        <w:rPr>
          <w:b/>
        </w:rPr>
        <w:t>1309</w:t>
      </w:r>
      <w:r>
        <w:rPr>
          <w:b/>
        </w:rPr>
        <w:tab/>
        <w:t>Edict of Öleitü qa’an</w:t>
      </w:r>
    </w:p>
    <w:p w14:paraId="1A6C020E" w14:textId="7E4C6503" w:rsidR="00C11AF0" w:rsidRPr="00C11AF0" w:rsidRDefault="00C11AF0" w:rsidP="00DB4EEB">
      <w:pPr>
        <w:tabs>
          <w:tab w:val="left" w:pos="360"/>
        </w:tabs>
      </w:pPr>
      <w:r w:rsidRPr="00C11AF0">
        <w:t xml:space="preserve">Orders mutilation punishments for anyone insulting monks. </w:t>
      </w:r>
      <w:r w:rsidR="00DB4EEB">
        <w:t>The edict</w:t>
      </w:r>
      <w:r w:rsidR="000B210B">
        <w:t xml:space="preserve"> </w:t>
      </w:r>
      <w:r w:rsidRPr="00C11AF0">
        <w:t>was revoked within months.</w:t>
      </w:r>
    </w:p>
    <w:p w14:paraId="683B8F77" w14:textId="77777777" w:rsidR="000B210B" w:rsidRDefault="00C11AF0" w:rsidP="00DB4EEB">
      <w:pPr>
        <w:tabs>
          <w:tab w:val="left" w:pos="360"/>
        </w:tabs>
        <w:ind w:left="720" w:hanging="360"/>
      </w:pPr>
      <w:r w:rsidRPr="00C11AF0">
        <w:t>See Schuh</w:t>
      </w:r>
      <w:r w:rsidR="000B210B">
        <w:t xml:space="preserve">, Dieter. 1977. </w:t>
      </w:r>
      <w:r w:rsidR="000B210B" w:rsidRPr="00F47EE2">
        <w:rPr>
          <w:rFonts w:ascii="Calibri" w:hAnsi="Calibri"/>
          <w:i/>
        </w:rPr>
        <w:t>Erlasse und Sendschreiben mongolischer Herrscher für tibetische Geisliche Ein Beitrag zur Kenntnis der Urkunden des tibetischen Mittelalters und ihrer Diplomatik</w:t>
      </w:r>
      <w:r w:rsidR="000B210B" w:rsidRPr="00F47EE2">
        <w:rPr>
          <w:rFonts w:ascii="Calibri" w:hAnsi="Calibri"/>
        </w:rPr>
        <w:t>. Sankt Au</w:t>
      </w:r>
      <w:r w:rsidR="000B210B">
        <w:rPr>
          <w:rFonts w:ascii="Calibri" w:hAnsi="Calibri"/>
        </w:rPr>
        <w:t xml:space="preserve">gustin: VGH Wissenschaftsverlag, pp. </w:t>
      </w:r>
      <w:r w:rsidRPr="00C11AF0">
        <w:t xml:space="preserve">126–28. </w:t>
      </w:r>
    </w:p>
    <w:p w14:paraId="3C97A0F0" w14:textId="19B896AF" w:rsidR="00036746" w:rsidRPr="000B210B" w:rsidRDefault="00C11AF0" w:rsidP="00DB4EEB">
      <w:pPr>
        <w:tabs>
          <w:tab w:val="left" w:pos="360"/>
        </w:tabs>
        <w:ind w:left="720" w:hanging="360"/>
        <w:rPr>
          <w:rFonts w:ascii="Calibri" w:hAnsi="Calibri"/>
        </w:rPr>
      </w:pPr>
      <w:r w:rsidRPr="00C11AF0">
        <w:t xml:space="preserve">See </w:t>
      </w:r>
      <w:r w:rsidR="000B210B">
        <w:t xml:space="preserve">also </w:t>
      </w:r>
      <w:r w:rsidRPr="00C11AF0">
        <w:t>Francke</w:t>
      </w:r>
      <w:r w:rsidR="000B210B">
        <w:t xml:space="preserve">, A.H. </w:t>
      </w:r>
      <w:r w:rsidRPr="00C11AF0">
        <w:t>1990</w:t>
      </w:r>
      <w:r w:rsidR="000B210B">
        <w:t>.</w:t>
      </w:r>
      <w:r w:rsidR="000B210B" w:rsidRPr="000B210B">
        <w:rPr>
          <w:rFonts w:ascii="Calibri" w:hAnsi="Calibri"/>
        </w:rPr>
        <w:t xml:space="preserve"> </w:t>
      </w:r>
      <w:r w:rsidR="000B210B" w:rsidRPr="00F47EE2">
        <w:rPr>
          <w:rFonts w:ascii="Calibri" w:hAnsi="Calibri"/>
        </w:rPr>
        <w:t xml:space="preserve">Comments on a Passage in the </w:t>
      </w:r>
      <w:r w:rsidR="000B210B" w:rsidRPr="00F47EE2">
        <w:rPr>
          <w:rFonts w:ascii="Calibri" w:hAnsi="Calibri"/>
          <w:i/>
        </w:rPr>
        <w:t>Hu-lan deb-ther</w:t>
      </w:r>
      <w:r w:rsidR="000B210B" w:rsidRPr="00F47EE2">
        <w:rPr>
          <w:rFonts w:ascii="Calibri" w:hAnsi="Calibri"/>
        </w:rPr>
        <w:t xml:space="preserve">: the ‘Edict of Öljeitü’ on the Punishment of Attacks against Tibetan Monks. In Paolo Daffina (ed.) </w:t>
      </w:r>
      <w:r w:rsidR="000B210B" w:rsidRPr="00F47EE2">
        <w:rPr>
          <w:rFonts w:ascii="Calibri" w:hAnsi="Calibri"/>
          <w:i/>
        </w:rPr>
        <w:t>Indo-Sino-Tibetica: Studi in Onore de Luciano Petech</w:t>
      </w:r>
      <w:r w:rsidR="00DB4EEB">
        <w:rPr>
          <w:rFonts w:ascii="Calibri" w:hAnsi="Calibri"/>
        </w:rPr>
        <w:t>. Roma: Bardi Editore</w:t>
      </w:r>
      <w:r w:rsidR="000B210B">
        <w:rPr>
          <w:rFonts w:ascii="Calibri" w:hAnsi="Calibri"/>
        </w:rPr>
        <w:t xml:space="preserve"> [and other references therein]</w:t>
      </w:r>
      <w:r w:rsidR="00DB4EEB">
        <w:rPr>
          <w:rFonts w:ascii="Calibri" w:hAnsi="Calibri"/>
        </w:rPr>
        <w:t>.</w:t>
      </w:r>
    </w:p>
    <w:p w14:paraId="2005E677" w14:textId="77777777" w:rsidR="00C11AF0" w:rsidRDefault="00C11AF0" w:rsidP="00DB4EEB">
      <w:pPr>
        <w:tabs>
          <w:tab w:val="left" w:pos="360"/>
        </w:tabs>
      </w:pPr>
    </w:p>
    <w:p w14:paraId="20795083" w14:textId="77777777" w:rsidR="000B210B" w:rsidRDefault="001F47C0" w:rsidP="00DB4EEB">
      <w:pPr>
        <w:tabs>
          <w:tab w:val="left" w:pos="360"/>
        </w:tabs>
      </w:pPr>
      <w:r w:rsidRPr="0087397E">
        <w:rPr>
          <w:b/>
        </w:rPr>
        <w:t>1331</w:t>
      </w:r>
      <w:r w:rsidRPr="0087397E">
        <w:rPr>
          <w:b/>
        </w:rPr>
        <w:tab/>
      </w:r>
      <w:r w:rsidRPr="000B210B">
        <w:rPr>
          <w:b/>
        </w:rPr>
        <w:t>Ed</w:t>
      </w:r>
      <w:r w:rsidR="006738DF" w:rsidRPr="000B210B">
        <w:rPr>
          <w:b/>
        </w:rPr>
        <w:t>ict issued by the Yuan emperor to Tugh Temür</w:t>
      </w:r>
      <w:r w:rsidR="006738DF">
        <w:t xml:space="preserve"> to the Third K</w:t>
      </w:r>
      <w:r>
        <w:t>armapa, Rangjung Dorje</w:t>
      </w:r>
      <w:r w:rsidR="000B210B">
        <w:t>.</w:t>
      </w:r>
      <w:r>
        <w:t xml:space="preserve"> </w:t>
      </w:r>
    </w:p>
    <w:p w14:paraId="17E1A3CA" w14:textId="7B7D84E6" w:rsidR="001F47C0" w:rsidRDefault="000B210B" w:rsidP="00DB4EEB">
      <w:pPr>
        <w:tabs>
          <w:tab w:val="left" w:pos="360"/>
        </w:tabs>
      </w:pPr>
      <w:r>
        <w:t xml:space="preserve">By this edict them emperor </w:t>
      </w:r>
      <w:r w:rsidR="001F47C0">
        <w:t>summon</w:t>
      </w:r>
      <w:r w:rsidR="00E040EA">
        <w:t>s the K</w:t>
      </w:r>
      <w:r>
        <w:t>armapa</w:t>
      </w:r>
      <w:r w:rsidR="001F47C0">
        <w:t xml:space="preserve"> to the imperial court.</w:t>
      </w:r>
      <w:r>
        <w:t xml:space="preserve"> It s</w:t>
      </w:r>
      <w:r w:rsidR="001F47C0">
        <w:t>tates that if he refuses to come it will indicate an unfaithful mind, lack of intention to work for the benefit of others, failure to think of the doctrine, failure to consider the hardsh</w:t>
      </w:r>
      <w:r w:rsidR="006738DF">
        <w:t>i</w:t>
      </w:r>
      <w:r w:rsidR="001F47C0">
        <w:t>ps and suffering of sentient beings, and ‘violation of the edict of my great legal system’.</w:t>
      </w:r>
    </w:p>
    <w:p w14:paraId="7A2188A8" w14:textId="77777777" w:rsidR="0087397E" w:rsidRDefault="0087397E" w:rsidP="00DB4EEB">
      <w:pPr>
        <w:tabs>
          <w:tab w:val="left" w:pos="360"/>
        </w:tabs>
        <w:ind w:left="720" w:hanging="360"/>
      </w:pPr>
      <w:r>
        <w:t xml:space="preserve">See </w:t>
      </w:r>
      <w:r w:rsidRPr="0087397E">
        <w:t xml:space="preserve">Schuh, Dieter. 1977. </w:t>
      </w:r>
      <w:r w:rsidRPr="0087397E">
        <w:rPr>
          <w:i/>
        </w:rPr>
        <w:t>Erlasse und Sendschreiben mongolischer Herrscher für tibetische Geisliche Ein Beitrag zur Kenntnis der Urkunden des tibetischen Mittelalters und ihrer Diplomatik</w:t>
      </w:r>
      <w:r w:rsidRPr="0087397E">
        <w:t xml:space="preserve">. Sankt Augustin: VGH Wissenschaftsverlag, pp. 128–37. </w:t>
      </w:r>
    </w:p>
    <w:p w14:paraId="46553C26" w14:textId="26FA18FD" w:rsidR="001F47C0" w:rsidRDefault="0087397E" w:rsidP="00DB4EEB">
      <w:pPr>
        <w:tabs>
          <w:tab w:val="left" w:pos="360"/>
        </w:tabs>
        <w:ind w:left="720" w:hanging="360"/>
      </w:pPr>
      <w:r>
        <w:t>And s</w:t>
      </w:r>
      <w:r w:rsidR="001F47C0">
        <w:t xml:space="preserve">ee </w:t>
      </w:r>
      <w:r w:rsidRPr="0087397E">
        <w:t xml:space="preserve">Schwieger, Peter. 2015. </w:t>
      </w:r>
      <w:r w:rsidRPr="0087397E">
        <w:rPr>
          <w:i/>
        </w:rPr>
        <w:t>The Dalai Lama and the Emperor of China</w:t>
      </w:r>
      <w:r w:rsidRPr="0087397E">
        <w:t>. New York : Columbia University Press</w:t>
      </w:r>
      <w:r>
        <w:t>, p. 19</w:t>
      </w:r>
      <w:r w:rsidR="001F47C0">
        <w:t>.</w:t>
      </w:r>
    </w:p>
    <w:p w14:paraId="4EF14762" w14:textId="77777777" w:rsidR="001F47C0" w:rsidRDefault="001F47C0" w:rsidP="00DB4EEB">
      <w:pPr>
        <w:tabs>
          <w:tab w:val="left" w:pos="360"/>
        </w:tabs>
      </w:pPr>
    </w:p>
    <w:p w14:paraId="194C62AE" w14:textId="2CBD7C50" w:rsidR="001F47C0" w:rsidRPr="0087397E" w:rsidRDefault="001F47C0" w:rsidP="00DB4EEB">
      <w:pPr>
        <w:tabs>
          <w:tab w:val="left" w:pos="360"/>
        </w:tabs>
        <w:rPr>
          <w:b/>
        </w:rPr>
      </w:pPr>
      <w:r w:rsidRPr="0087397E">
        <w:rPr>
          <w:b/>
        </w:rPr>
        <w:lastRenderedPageBreak/>
        <w:t>1407</w:t>
      </w:r>
      <w:r w:rsidR="0087397E" w:rsidRPr="0087397E">
        <w:rPr>
          <w:b/>
        </w:rPr>
        <w:tab/>
        <w:t>Report of a v</w:t>
      </w:r>
      <w:r w:rsidR="00026CF5" w:rsidRPr="0087397E">
        <w:rPr>
          <w:b/>
        </w:rPr>
        <w:t>isit by the Fifth Karmapa, Dezhin Shekpa</w:t>
      </w:r>
      <w:r w:rsidR="00E040EA">
        <w:rPr>
          <w:b/>
        </w:rPr>
        <w:t xml:space="preserve"> (sDe bzhin gshegs pa)</w:t>
      </w:r>
      <w:r w:rsidR="00026CF5" w:rsidRPr="0087397E">
        <w:rPr>
          <w:b/>
        </w:rPr>
        <w:t>, to the Ming court.</w:t>
      </w:r>
    </w:p>
    <w:p w14:paraId="1AABDDD3" w14:textId="3F2752E9" w:rsidR="00026CF5" w:rsidRDefault="0087397E" w:rsidP="00DB4EEB">
      <w:pPr>
        <w:tabs>
          <w:tab w:val="left" w:pos="360"/>
        </w:tabs>
      </w:pPr>
      <w:r>
        <w:t>Th</w:t>
      </w:r>
      <w:r w:rsidR="00E040EA">
        <w:t>e</w:t>
      </w:r>
      <w:r>
        <w:t xml:space="preserve"> re</w:t>
      </w:r>
      <w:r w:rsidR="00026CF5">
        <w:t xml:space="preserve">port </w:t>
      </w:r>
      <w:r>
        <w:t xml:space="preserve">is by one </w:t>
      </w:r>
      <w:r w:rsidR="00E040EA">
        <w:t xml:space="preserve">of </w:t>
      </w:r>
      <w:r w:rsidR="00026CF5">
        <w:t>the Tibetans present.</w:t>
      </w:r>
      <w:r>
        <w:t xml:space="preserve"> He states that i</w:t>
      </w:r>
      <w:r w:rsidR="00026CF5">
        <w:t>t was</w:t>
      </w:r>
      <w:r w:rsidR="009665F3">
        <w:t xml:space="preserve"> the emperor’s intention to bring Tibet under [imperial] law by means of warfar</w:t>
      </w:r>
      <w:r w:rsidR="006738DF">
        <w:t>e</w:t>
      </w:r>
      <w:r w:rsidR="009665F3">
        <w:t>, as in the times of the Mongols</w:t>
      </w:r>
      <w:r>
        <w:t>, and that h</w:t>
      </w:r>
      <w:r w:rsidR="009665F3">
        <w:t xml:space="preserve">e intended to subdue the country through a single rule of priest and patron, as the Sakyapa and Mongols had done. </w:t>
      </w:r>
      <w:r>
        <w:t>The writer also reports that he</w:t>
      </w:r>
      <w:r w:rsidR="009665F3">
        <w:t xml:space="preserve"> saw a sequence of three petitions, through which the Pha</w:t>
      </w:r>
      <w:r>
        <w:t>k</w:t>
      </w:r>
      <w:r w:rsidR="009665F3">
        <w:t>modru ruler</w:t>
      </w:r>
      <w:r w:rsidR="00E040EA">
        <w:t>,</w:t>
      </w:r>
      <w:r w:rsidR="009665F3">
        <w:t xml:space="preserve"> Drakpa</w:t>
      </w:r>
      <w:bookmarkStart w:id="0" w:name="_GoBack"/>
      <w:bookmarkEnd w:id="0"/>
      <w:r w:rsidR="009665F3">
        <w:t xml:space="preserve"> Gyaltsen </w:t>
      </w:r>
      <w:r w:rsidR="00E040EA">
        <w:t xml:space="preserve">(Grags pa rgyal mthan), </w:t>
      </w:r>
      <w:r w:rsidR="009665F3">
        <w:t xml:space="preserve">lamented that without an overlord there would be no protection, and through which he offered </w:t>
      </w:r>
      <w:r w:rsidR="00E040EA">
        <w:t xml:space="preserve">his </w:t>
      </w:r>
      <w:r w:rsidR="009665F3">
        <w:t>head and body to the emperor.</w:t>
      </w:r>
    </w:p>
    <w:p w14:paraId="4E69B055" w14:textId="77777777" w:rsidR="009665F3" w:rsidRDefault="009665F3" w:rsidP="00DB4EEB">
      <w:pPr>
        <w:tabs>
          <w:tab w:val="left" w:pos="360"/>
        </w:tabs>
      </w:pPr>
      <w:r>
        <w:tab/>
        <w:t xml:space="preserve">This report is contained in the </w:t>
      </w:r>
      <w:r>
        <w:rPr>
          <w:i/>
        </w:rPr>
        <w:t>mKhas pa’i dga ston</w:t>
      </w:r>
      <w:r>
        <w:t xml:space="preserve"> (1564).</w:t>
      </w:r>
    </w:p>
    <w:p w14:paraId="45A1AA42" w14:textId="2E85477F" w:rsidR="0087397E" w:rsidRDefault="009665F3" w:rsidP="00E040EA">
      <w:pPr>
        <w:tabs>
          <w:tab w:val="left" w:pos="360"/>
        </w:tabs>
        <w:ind w:left="720" w:hanging="360"/>
      </w:pPr>
      <w:r>
        <w:t xml:space="preserve">See </w:t>
      </w:r>
      <w:r w:rsidR="0087397E" w:rsidRPr="0087397E">
        <w:t xml:space="preserve">Schwieger, Peter. 2015. </w:t>
      </w:r>
      <w:r w:rsidR="0087397E" w:rsidRPr="0087397E">
        <w:rPr>
          <w:i/>
        </w:rPr>
        <w:t>The Dalai Lama and the Emperor of China</w:t>
      </w:r>
      <w:r w:rsidR="00E040EA">
        <w:t>. New York</w:t>
      </w:r>
      <w:r w:rsidR="0087397E" w:rsidRPr="0087397E">
        <w:t>: Columbia University Press</w:t>
      </w:r>
      <w:r w:rsidR="0087397E">
        <w:t>, pp.</w:t>
      </w:r>
      <w:r w:rsidR="00E040EA">
        <w:t xml:space="preserve"> 21–</w:t>
      </w:r>
      <w:r w:rsidR="0087397E">
        <w:t>22.</w:t>
      </w:r>
    </w:p>
    <w:p w14:paraId="0A3C1CC0" w14:textId="3D065D05" w:rsidR="0087397E" w:rsidRDefault="0087397E" w:rsidP="00E040EA">
      <w:pPr>
        <w:tabs>
          <w:tab w:val="left" w:pos="360"/>
        </w:tabs>
        <w:ind w:left="720" w:hanging="360"/>
        <w:rPr>
          <w:rFonts w:ascii="Calibri" w:hAnsi="Calibri"/>
        </w:rPr>
      </w:pPr>
      <w:r>
        <w:rPr>
          <w:rFonts w:ascii="Calibri" w:hAnsi="Calibri"/>
        </w:rPr>
        <w:t xml:space="preserve">See also Schuh, Dieter. </w:t>
      </w:r>
      <w:r w:rsidRPr="00F47EE2">
        <w:rPr>
          <w:rFonts w:ascii="Calibri" w:hAnsi="Calibri"/>
        </w:rPr>
        <w:t xml:space="preserve">1976. Wie ist die Einladung des fünften Karma-pa an den chinesischen Kaiserhof als Fortführung der Tibet-Politik der Mongolen-Khane zu verstehen? In </w:t>
      </w:r>
      <w:r w:rsidRPr="00F47EE2">
        <w:rPr>
          <w:rFonts w:ascii="Calibri" w:hAnsi="Calibri"/>
          <w:i/>
        </w:rPr>
        <w:t>Altaica Collecta. Berichte und Vorträge der XVII</w:t>
      </w:r>
      <w:r w:rsidRPr="00F47EE2">
        <w:rPr>
          <w:rFonts w:ascii="Calibri" w:hAnsi="Calibri"/>
        </w:rPr>
        <w:t>, Walther Heissig (ed.) Wiesbaden: Otto Harrassowitz.</w:t>
      </w:r>
    </w:p>
    <w:p w14:paraId="6CFEB4A0" w14:textId="77777777" w:rsidR="00036746" w:rsidRDefault="00036746" w:rsidP="00DB4EEB">
      <w:pPr>
        <w:tabs>
          <w:tab w:val="left" w:pos="360"/>
        </w:tabs>
      </w:pPr>
    </w:p>
    <w:p w14:paraId="02645112" w14:textId="1E781E9E" w:rsidR="00036746" w:rsidRPr="00027030" w:rsidRDefault="00027030" w:rsidP="00DB4EEB">
      <w:pPr>
        <w:tabs>
          <w:tab w:val="left" w:pos="360"/>
        </w:tabs>
        <w:rPr>
          <w:b/>
        </w:rPr>
      </w:pPr>
      <w:r w:rsidRPr="00027030">
        <w:rPr>
          <w:b/>
        </w:rPr>
        <w:t xml:space="preserve">The lawcode of </w:t>
      </w:r>
      <w:r w:rsidR="00036746" w:rsidRPr="00027030">
        <w:rPr>
          <w:b/>
        </w:rPr>
        <w:t>Karma bsTan skyong dBang po (1606–1642)</w:t>
      </w:r>
    </w:p>
    <w:p w14:paraId="5D65E011" w14:textId="77777777" w:rsidR="00E040EA" w:rsidRDefault="00DF3A44" w:rsidP="00DB4EEB">
      <w:pPr>
        <w:tabs>
          <w:tab w:val="left" w:pos="360"/>
        </w:tabs>
        <w:ind w:left="720" w:hanging="360"/>
      </w:pPr>
      <w:r w:rsidRPr="00DF3A44">
        <w:t>gTsang pa sde srid bstan skyong dbang po’i ʼdus su gtan la phab pa’</w:t>
      </w:r>
      <w:r>
        <w:t xml:space="preserve">i khrims yig zhal lce bcu drug. 2004. </w:t>
      </w:r>
      <w:r w:rsidRPr="00DF3A44">
        <w:t xml:space="preserve">In Bsod nams tshe ring (ed.) </w:t>
      </w:r>
      <w:r w:rsidRPr="00DF3A44">
        <w:rPr>
          <w:i/>
        </w:rPr>
        <w:t>Snga rabs bod kyi srid khrims</w:t>
      </w:r>
      <w:r>
        <w:t xml:space="preserve">. </w:t>
      </w:r>
      <w:r w:rsidRPr="00DF3A44">
        <w:t>Chengdu</w:t>
      </w:r>
      <w:r>
        <w:t>: Bod ljongs bod yig dpe rnying dpe skrun khang</w:t>
      </w:r>
      <w:r w:rsidRPr="00DF3A44">
        <w:t>.</w:t>
      </w:r>
    </w:p>
    <w:p w14:paraId="5D86C53A" w14:textId="66BE472F" w:rsidR="00036746" w:rsidRPr="00036746" w:rsidRDefault="00E040EA" w:rsidP="00DB4EEB">
      <w:pPr>
        <w:tabs>
          <w:tab w:val="left" w:pos="360"/>
        </w:tabs>
        <w:ind w:left="720" w:hanging="360"/>
      </w:pPr>
      <w:r w:rsidRPr="00954063">
        <w:rPr>
          <w:i/>
          <w:iCs/>
        </w:rPr>
        <w:t>Tibetan Legal Materials</w:t>
      </w:r>
      <w:r w:rsidRPr="00177CAB">
        <w:rPr>
          <w:iCs/>
        </w:rPr>
        <w:t>. 1985. Dharamsala: The Library of Tibetan Works and Archives</w:t>
      </w:r>
      <w:r>
        <w:t>.</w:t>
      </w:r>
    </w:p>
    <w:p w14:paraId="164929ED" w14:textId="0A72417E" w:rsidR="00036746" w:rsidRDefault="00DF3A44" w:rsidP="00DB4EEB">
      <w:pPr>
        <w:tabs>
          <w:tab w:val="left" w:pos="360"/>
        </w:tabs>
        <w:ind w:left="720" w:hanging="360"/>
      </w:pPr>
      <w:r>
        <w:t>And s</w:t>
      </w:r>
      <w:r w:rsidR="00036746" w:rsidRPr="00036746">
        <w:t xml:space="preserve">ee </w:t>
      </w:r>
      <w:r w:rsidRPr="00DF3A44">
        <w:t xml:space="preserve">Tucci, Giuseppe. 1949. </w:t>
      </w:r>
      <w:r w:rsidRPr="00DF3A44">
        <w:rPr>
          <w:i/>
        </w:rPr>
        <w:t>Tibetan Painted Scrolls</w:t>
      </w:r>
      <w:r w:rsidRPr="00DF3A44">
        <w:t xml:space="preserve">. </w:t>
      </w:r>
      <w:r>
        <w:t>Roma: Libreria dello Stato, Vol II, p. 697.</w:t>
      </w:r>
    </w:p>
    <w:p w14:paraId="01DD4E09" w14:textId="2CBDB383" w:rsidR="00F56FA3" w:rsidRDefault="00220A43" w:rsidP="00DB4EEB">
      <w:pPr>
        <w:widowControl w:val="0"/>
        <w:tabs>
          <w:tab w:val="left" w:pos="360"/>
          <w:tab w:val="left" w:pos="720"/>
        </w:tabs>
        <w:ind w:left="720" w:hanging="360"/>
        <w:rPr>
          <w:rFonts w:ascii="Calibri" w:hAnsi="Calibri"/>
        </w:rPr>
      </w:pPr>
      <w:r>
        <w:t xml:space="preserve">And see </w:t>
      </w:r>
      <w:r w:rsidRPr="00F47EE2">
        <w:rPr>
          <w:rFonts w:ascii="Calibri" w:hAnsi="Calibri"/>
        </w:rPr>
        <w:t xml:space="preserve">Cüppers, Christopher. </w:t>
      </w:r>
      <w:r>
        <w:rPr>
          <w:rFonts w:ascii="Calibri" w:hAnsi="Calibri"/>
        </w:rPr>
        <w:t>2015. gTsang khrims yig chen mo: ein tibetischer Rech</w:t>
      </w:r>
      <w:r w:rsidR="00E040EA">
        <w:rPr>
          <w:rFonts w:ascii="Calibri" w:hAnsi="Calibri"/>
        </w:rPr>
        <w:t>t</w:t>
      </w:r>
      <w:r>
        <w:rPr>
          <w:rFonts w:ascii="Calibri" w:hAnsi="Calibri"/>
        </w:rPr>
        <w:t xml:space="preserve">skodex in der Sammlung der National Archives in Kathmandu. In D. Schuh (ed.) </w:t>
      </w:r>
      <w:r>
        <w:rPr>
          <w:rFonts w:ascii="Calibri" w:hAnsi="Calibri"/>
          <w:i/>
          <w:iCs/>
        </w:rPr>
        <w:t>Secular Law and Order in the Tibetan Highland</w:t>
      </w:r>
      <w:r>
        <w:rPr>
          <w:rFonts w:ascii="Calibri" w:hAnsi="Calibri"/>
        </w:rPr>
        <w:t xml:space="preserve">. Andiast: </w:t>
      </w:r>
      <w:r w:rsidR="00DB4EEB" w:rsidRPr="0098357D">
        <w:t>I</w:t>
      </w:r>
      <w:r w:rsidR="00DB4EEB">
        <w:t xml:space="preserve">nternational </w:t>
      </w:r>
      <w:r w:rsidR="00DB4EEB" w:rsidRPr="0098357D">
        <w:t>I</w:t>
      </w:r>
      <w:r w:rsidR="00DB4EEB">
        <w:t xml:space="preserve">nstitute for </w:t>
      </w:r>
      <w:r w:rsidR="00DB4EEB" w:rsidRPr="0098357D">
        <w:t>T</w:t>
      </w:r>
      <w:r w:rsidR="00DB4EEB">
        <w:t xml:space="preserve">ibetan and </w:t>
      </w:r>
      <w:r w:rsidR="00DB4EEB" w:rsidRPr="0098357D">
        <w:t>B</w:t>
      </w:r>
      <w:r w:rsidR="00DB4EEB">
        <w:t xml:space="preserve">uddhist </w:t>
      </w:r>
      <w:r w:rsidR="00DB4EEB" w:rsidRPr="0098357D">
        <w:t>S</w:t>
      </w:r>
      <w:r w:rsidR="00DB4EEB">
        <w:t>tudies</w:t>
      </w:r>
      <w:r>
        <w:rPr>
          <w:rFonts w:ascii="Calibri" w:hAnsi="Calibri"/>
        </w:rPr>
        <w:t>.</w:t>
      </w:r>
    </w:p>
    <w:p w14:paraId="6ABD15A6" w14:textId="4E7E9262" w:rsidR="001F47C0" w:rsidRPr="00AC5AB0" w:rsidRDefault="00F56FA3" w:rsidP="00DB4EEB">
      <w:pPr>
        <w:widowControl w:val="0"/>
        <w:tabs>
          <w:tab w:val="left" w:pos="360"/>
          <w:tab w:val="left" w:pos="720"/>
        </w:tabs>
        <w:ind w:left="720" w:hanging="360"/>
        <w:rPr>
          <w:rFonts w:ascii="Calibri" w:hAnsi="Calibri"/>
        </w:rPr>
      </w:pPr>
      <w:r>
        <w:t xml:space="preserve">And see other sources mentioned in Ehrhard, Franz-Karl. 2015. ‘A Thousand-spoke Golden Wheel of Secular Law’: The Preamble to the Law Code of the Kings of gTsang. In </w:t>
      </w:r>
      <w:r>
        <w:rPr>
          <w:rFonts w:ascii="Calibri" w:hAnsi="Calibri"/>
        </w:rPr>
        <w:t xml:space="preserve">D. Schuh (ed.) </w:t>
      </w:r>
      <w:r>
        <w:rPr>
          <w:rFonts w:ascii="Calibri" w:hAnsi="Calibri"/>
          <w:i/>
          <w:iCs/>
        </w:rPr>
        <w:t>Secular Law and Order in the Tibetan Highland</w:t>
      </w:r>
      <w:r>
        <w:rPr>
          <w:rFonts w:ascii="Calibri" w:hAnsi="Calibri"/>
        </w:rPr>
        <w:t xml:space="preserve">. Andiast: </w:t>
      </w:r>
      <w:r w:rsidR="00DB4EEB" w:rsidRPr="0098357D">
        <w:t>I</w:t>
      </w:r>
      <w:r w:rsidR="00DB4EEB">
        <w:t xml:space="preserve">nternational </w:t>
      </w:r>
      <w:r w:rsidR="00DB4EEB" w:rsidRPr="0098357D">
        <w:t>I</w:t>
      </w:r>
      <w:r w:rsidR="00DB4EEB">
        <w:t xml:space="preserve">nstitute for </w:t>
      </w:r>
      <w:r w:rsidR="00DB4EEB" w:rsidRPr="0098357D">
        <w:t>T</w:t>
      </w:r>
      <w:r w:rsidR="00DB4EEB">
        <w:t xml:space="preserve">ibetan and </w:t>
      </w:r>
      <w:r w:rsidR="00DB4EEB" w:rsidRPr="0098357D">
        <w:t>B</w:t>
      </w:r>
      <w:r w:rsidR="00DB4EEB">
        <w:t xml:space="preserve">uddhist </w:t>
      </w:r>
      <w:r w:rsidR="00DB4EEB" w:rsidRPr="0098357D">
        <w:t>S</w:t>
      </w:r>
      <w:r w:rsidR="00DB4EEB">
        <w:t>tudies</w:t>
      </w:r>
      <w:r>
        <w:rPr>
          <w:rFonts w:ascii="Calibri" w:hAnsi="Calibri"/>
        </w:rPr>
        <w:t>, pp. 105–25.</w:t>
      </w:r>
      <w:r w:rsidR="00036746" w:rsidRPr="00036746">
        <w:tab/>
      </w:r>
    </w:p>
    <w:sectPr w:rsidR="001F47C0" w:rsidRPr="00AC5AB0" w:rsidSect="002D5CF4">
      <w:footerReference w:type="default" r:id="rId6"/>
      <w:pgSz w:w="11907" w:h="16839" w:code="9"/>
      <w:pgMar w:top="1440" w:right="1440" w:bottom="1440" w:left="1440" w:header="720" w:footer="720" w:gutter="0"/>
      <w:cols w:space="708"/>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02E1E" w14:textId="77777777" w:rsidR="00F31F03" w:rsidRDefault="00F31F03" w:rsidP="00036746">
      <w:pPr>
        <w:spacing w:line="240" w:lineRule="auto"/>
      </w:pPr>
      <w:r>
        <w:separator/>
      </w:r>
    </w:p>
  </w:endnote>
  <w:endnote w:type="continuationSeparator" w:id="0">
    <w:p w14:paraId="1F848931" w14:textId="77777777" w:rsidR="00F31F03" w:rsidRDefault="00F31F03" w:rsidP="000367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933577"/>
      <w:docPartObj>
        <w:docPartGallery w:val="Page Numbers (Bottom of Page)"/>
        <w:docPartUnique/>
      </w:docPartObj>
    </w:sdtPr>
    <w:sdtEndPr>
      <w:rPr>
        <w:noProof/>
      </w:rPr>
    </w:sdtEndPr>
    <w:sdtContent>
      <w:p w14:paraId="6493E7CB" w14:textId="23E29EE7" w:rsidR="00036746" w:rsidRDefault="00036746">
        <w:pPr>
          <w:pStyle w:val="Footer"/>
          <w:jc w:val="center"/>
        </w:pPr>
        <w:r>
          <w:fldChar w:fldCharType="begin"/>
        </w:r>
        <w:r>
          <w:instrText xml:space="preserve"> PAGE   \* MERGEFORMAT </w:instrText>
        </w:r>
        <w:r>
          <w:fldChar w:fldCharType="separate"/>
        </w:r>
        <w:r w:rsidR="0070546E">
          <w:rPr>
            <w:noProof/>
          </w:rPr>
          <w:t>3</w:t>
        </w:r>
        <w:r>
          <w:rPr>
            <w:noProof/>
          </w:rPr>
          <w:fldChar w:fldCharType="end"/>
        </w:r>
      </w:p>
    </w:sdtContent>
  </w:sdt>
  <w:p w14:paraId="193053A7" w14:textId="77777777" w:rsidR="00036746" w:rsidRDefault="000367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5C793" w14:textId="77777777" w:rsidR="00F31F03" w:rsidRDefault="00F31F03" w:rsidP="00036746">
      <w:pPr>
        <w:spacing w:line="240" w:lineRule="auto"/>
      </w:pPr>
      <w:r>
        <w:separator/>
      </w:r>
    </w:p>
  </w:footnote>
  <w:footnote w:type="continuationSeparator" w:id="0">
    <w:p w14:paraId="233D0067" w14:textId="77777777" w:rsidR="00F31F03" w:rsidRDefault="00F31F03" w:rsidP="000367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E9"/>
    <w:rsid w:val="00026CF5"/>
    <w:rsid w:val="00027030"/>
    <w:rsid w:val="00036746"/>
    <w:rsid w:val="00037956"/>
    <w:rsid w:val="000440E8"/>
    <w:rsid w:val="00073490"/>
    <w:rsid w:val="000B210B"/>
    <w:rsid w:val="0016093C"/>
    <w:rsid w:val="00172987"/>
    <w:rsid w:val="001D7EED"/>
    <w:rsid w:val="001F47C0"/>
    <w:rsid w:val="00220A43"/>
    <w:rsid w:val="00233FC6"/>
    <w:rsid w:val="002B19A6"/>
    <w:rsid w:val="002D5CF4"/>
    <w:rsid w:val="003055E0"/>
    <w:rsid w:val="00352214"/>
    <w:rsid w:val="003B0E38"/>
    <w:rsid w:val="00504D13"/>
    <w:rsid w:val="00565BA2"/>
    <w:rsid w:val="005D1EDF"/>
    <w:rsid w:val="00653B37"/>
    <w:rsid w:val="00665780"/>
    <w:rsid w:val="006738DF"/>
    <w:rsid w:val="006A0FE1"/>
    <w:rsid w:val="006F392C"/>
    <w:rsid w:val="0070546E"/>
    <w:rsid w:val="007F29E4"/>
    <w:rsid w:val="0087397E"/>
    <w:rsid w:val="009665F3"/>
    <w:rsid w:val="0098357D"/>
    <w:rsid w:val="009A6754"/>
    <w:rsid w:val="00A23DDD"/>
    <w:rsid w:val="00AC5AB0"/>
    <w:rsid w:val="00B03E95"/>
    <w:rsid w:val="00BA0CF7"/>
    <w:rsid w:val="00BB2E54"/>
    <w:rsid w:val="00C11AF0"/>
    <w:rsid w:val="00C44BE9"/>
    <w:rsid w:val="00CD2207"/>
    <w:rsid w:val="00D32EA7"/>
    <w:rsid w:val="00D664B3"/>
    <w:rsid w:val="00DB4EEB"/>
    <w:rsid w:val="00DF3A44"/>
    <w:rsid w:val="00E040EA"/>
    <w:rsid w:val="00E74026"/>
    <w:rsid w:val="00E9792A"/>
    <w:rsid w:val="00EA26D0"/>
    <w:rsid w:val="00EC0C08"/>
    <w:rsid w:val="00EC19C0"/>
    <w:rsid w:val="00EC67B7"/>
    <w:rsid w:val="00F31F03"/>
    <w:rsid w:val="00F56F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EB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746"/>
    <w:pPr>
      <w:tabs>
        <w:tab w:val="center" w:pos="4513"/>
        <w:tab w:val="right" w:pos="9026"/>
      </w:tabs>
      <w:spacing w:line="240" w:lineRule="auto"/>
    </w:pPr>
  </w:style>
  <w:style w:type="character" w:customStyle="1" w:styleId="HeaderChar">
    <w:name w:val="Header Char"/>
    <w:basedOn w:val="DefaultParagraphFont"/>
    <w:link w:val="Header"/>
    <w:uiPriority w:val="99"/>
    <w:rsid w:val="00036746"/>
  </w:style>
  <w:style w:type="paragraph" w:styleId="Footer">
    <w:name w:val="footer"/>
    <w:basedOn w:val="Normal"/>
    <w:link w:val="FooterChar"/>
    <w:uiPriority w:val="99"/>
    <w:unhideWhenUsed/>
    <w:rsid w:val="00036746"/>
    <w:pPr>
      <w:tabs>
        <w:tab w:val="center" w:pos="4513"/>
        <w:tab w:val="right" w:pos="9026"/>
      </w:tabs>
      <w:spacing w:line="240" w:lineRule="auto"/>
    </w:pPr>
  </w:style>
  <w:style w:type="character" w:customStyle="1" w:styleId="FooterChar">
    <w:name w:val="Footer Char"/>
    <w:basedOn w:val="DefaultParagraphFont"/>
    <w:link w:val="Footer"/>
    <w:uiPriority w:val="99"/>
    <w:rsid w:val="00036746"/>
  </w:style>
  <w:style w:type="paragraph" w:styleId="BalloonText">
    <w:name w:val="Balloon Text"/>
    <w:basedOn w:val="Normal"/>
    <w:link w:val="BalloonTextChar"/>
    <w:uiPriority w:val="99"/>
    <w:semiHidden/>
    <w:unhideWhenUsed/>
    <w:rsid w:val="00F56F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942</Words>
  <Characters>5375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Pirie</dc:creator>
  <cp:lastModifiedBy>Fernanda Pirie</cp:lastModifiedBy>
  <cp:revision>4</cp:revision>
  <cp:lastPrinted>2018-06-04T15:49:00Z</cp:lastPrinted>
  <dcterms:created xsi:type="dcterms:W3CDTF">2018-06-04T15:53:00Z</dcterms:created>
  <dcterms:modified xsi:type="dcterms:W3CDTF">2018-06-05T08:13:00Z</dcterms:modified>
</cp:coreProperties>
</file>